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color w:val="auto"/>
          <w:sz w:val="24"/>
          <w:szCs w:val="24"/>
        </w:rPr>
      </w:pPr>
      <w:r>
        <w:rPr>
          <w:rFonts w:asciiTheme="minorEastAsia" w:hAnsiTheme="minorEastAsia"/>
          <w:b/>
          <w:color w:val="auto"/>
          <w:sz w:val="24"/>
          <w:szCs w:val="24"/>
        </w:rPr>
        <w:t>附录</w:t>
      </w:r>
      <w:r>
        <w:rPr>
          <w:rFonts w:hint="eastAsia" w:asciiTheme="minorEastAsia" w:hAnsiTheme="minorEastAsia"/>
          <w:b/>
          <w:color w:val="auto"/>
          <w:sz w:val="24"/>
          <w:szCs w:val="24"/>
        </w:rPr>
        <w:t>2：</w:t>
      </w:r>
    </w:p>
    <w:p>
      <w:pPr>
        <w:jc w:val="center"/>
        <w:rPr>
          <w:rFonts w:asciiTheme="minorEastAsia" w:hAnsiTheme="minorEastAsia"/>
          <w:b/>
          <w:color w:val="auto"/>
          <w:sz w:val="24"/>
          <w:szCs w:val="24"/>
        </w:rPr>
      </w:pPr>
      <w:bookmarkStart w:id="0" w:name="_GoBack"/>
      <w:r>
        <w:rPr>
          <w:rFonts w:hint="eastAsia" w:asciiTheme="minorEastAsia" w:hAnsiTheme="minorEastAsia"/>
          <w:b/>
          <w:color w:val="auto"/>
          <w:sz w:val="24"/>
          <w:szCs w:val="24"/>
        </w:rPr>
        <w:t>哲学系推荐免试直升202</w:t>
      </w:r>
      <w:r>
        <w:rPr>
          <w:rFonts w:hint="eastAsia" w:asciiTheme="minorEastAsia" w:hAnsiTheme="minorEastAsia"/>
          <w:b/>
          <w:color w:val="auto"/>
          <w:sz w:val="24"/>
          <w:szCs w:val="24"/>
          <w:lang w:val="en-US" w:eastAsia="zh-CN"/>
        </w:rPr>
        <w:t>4</w:t>
      </w:r>
      <w:r>
        <w:rPr>
          <w:rFonts w:hint="eastAsia" w:asciiTheme="minorEastAsia" w:hAnsiTheme="minorEastAsia"/>
          <w:b/>
          <w:color w:val="auto"/>
          <w:sz w:val="24"/>
          <w:szCs w:val="24"/>
        </w:rPr>
        <w:t>年研究生扣分项目方案</w:t>
      </w:r>
      <w:bookmarkEnd w:id="0"/>
    </w:p>
    <w:p>
      <w:pPr>
        <w:widowControl/>
        <w:shd w:val="clear" w:color="auto" w:fill="FFFFFF"/>
        <w:spacing w:line="360" w:lineRule="auto"/>
        <w:ind w:firstLine="482"/>
        <w:rPr>
          <w:rFonts w:ascii="宋体" w:hAnsi="宋体" w:eastAsia="宋体" w:cs="Times New Roman"/>
          <w:bCs/>
          <w:color w:val="auto"/>
          <w:kern w:val="0"/>
          <w:szCs w:val="21"/>
        </w:rPr>
      </w:pPr>
      <w:r>
        <w:rPr>
          <w:rFonts w:hint="eastAsia" w:ascii="宋体" w:hAnsi="宋体" w:eastAsia="宋体" w:cs="Times New Roman"/>
          <w:bCs/>
          <w:color w:val="auto"/>
          <w:kern w:val="0"/>
          <w:szCs w:val="21"/>
        </w:rPr>
        <w:t>一、根据</w:t>
      </w:r>
      <w:r>
        <w:rPr>
          <w:rFonts w:hint="eastAsia" w:ascii="宋体" w:hAnsi="宋体" w:eastAsia="宋体" w:cs="宋体"/>
          <w:bCs/>
          <w:color w:val="auto"/>
          <w:kern w:val="0"/>
          <w:szCs w:val="21"/>
        </w:rPr>
        <w:t>《华东师范大学推荐优秀应届本科毕业生免试攻读研究生工作管理办法（2023年修订）》文件</w:t>
      </w:r>
      <w:r>
        <w:rPr>
          <w:rFonts w:hint="eastAsia" w:ascii="宋体" w:hAnsi="宋体" w:eastAsia="宋体" w:cs="Times New Roman"/>
          <w:bCs/>
          <w:color w:val="auto"/>
          <w:kern w:val="0"/>
          <w:szCs w:val="21"/>
        </w:rPr>
        <w:t>精神，制定本排名方案。</w:t>
      </w:r>
    </w:p>
    <w:p>
      <w:pPr>
        <w:widowControl/>
        <w:shd w:val="clear" w:color="auto" w:fill="FFFFFF"/>
        <w:spacing w:line="360" w:lineRule="auto"/>
        <w:ind w:firstLine="482"/>
        <w:rPr>
          <w:rFonts w:ascii="宋体" w:hAnsi="宋体" w:eastAsia="宋体" w:cs="Times New Roman"/>
          <w:bCs/>
          <w:color w:val="auto"/>
          <w:kern w:val="0"/>
          <w:szCs w:val="21"/>
        </w:rPr>
      </w:pPr>
      <w:r>
        <w:rPr>
          <w:rFonts w:hint="eastAsia" w:ascii="宋体" w:hAnsi="宋体" w:eastAsia="宋体" w:cs="Times New Roman"/>
          <w:bCs/>
          <w:color w:val="auto"/>
          <w:kern w:val="0"/>
          <w:szCs w:val="21"/>
        </w:rPr>
        <w:t>二、《哲学系推荐应届本科毕业生免试直升</w:t>
      </w:r>
      <w:r>
        <w:rPr>
          <w:rFonts w:ascii="Times New Roman" w:hAnsi="Times New Roman" w:eastAsia="宋体" w:cs="Times New Roman"/>
          <w:bCs/>
          <w:color w:val="auto"/>
          <w:kern w:val="0"/>
          <w:szCs w:val="21"/>
        </w:rPr>
        <w:t>20</w:t>
      </w:r>
      <w:r>
        <w:rPr>
          <w:rFonts w:hint="eastAsia" w:ascii="Times New Roman" w:hAnsi="Times New Roman" w:eastAsia="宋体" w:cs="Times New Roman"/>
          <w:bCs/>
          <w:color w:val="auto"/>
          <w:kern w:val="0"/>
          <w:szCs w:val="21"/>
        </w:rPr>
        <w:t>2</w:t>
      </w:r>
      <w:r>
        <w:rPr>
          <w:rFonts w:hint="eastAsia" w:ascii="Times New Roman" w:hAnsi="Times New Roman" w:eastAsia="宋体" w:cs="Times New Roman"/>
          <w:bCs/>
          <w:color w:val="auto"/>
          <w:kern w:val="0"/>
          <w:szCs w:val="21"/>
          <w:lang w:val="en-US" w:eastAsia="zh-CN"/>
        </w:rPr>
        <w:t>4</w:t>
      </w:r>
      <w:r>
        <w:rPr>
          <w:rFonts w:hint="eastAsia" w:ascii="宋体" w:hAnsi="宋体" w:eastAsia="宋体" w:cs="Times New Roman"/>
          <w:bCs/>
          <w:color w:val="auto"/>
          <w:kern w:val="0"/>
          <w:szCs w:val="21"/>
        </w:rPr>
        <w:t>年研究生工作细则》第五条第</w:t>
      </w:r>
      <w:r>
        <w:rPr>
          <w:rFonts w:ascii="Times New Roman" w:hAnsi="Times New Roman" w:eastAsia="宋体" w:cs="Times New Roman"/>
          <w:bCs/>
          <w:color w:val="auto"/>
          <w:kern w:val="0"/>
          <w:szCs w:val="21"/>
        </w:rPr>
        <w:t>2</w:t>
      </w:r>
      <w:r>
        <w:rPr>
          <w:rFonts w:hint="eastAsia" w:ascii="宋体" w:hAnsi="宋体" w:eastAsia="宋体" w:cs="Times New Roman"/>
          <w:bCs/>
          <w:color w:val="auto"/>
          <w:kern w:val="0"/>
          <w:szCs w:val="21"/>
        </w:rPr>
        <w:t>款所指的“扣分项目”依据下表所列各项情况的分值总和确定。</w:t>
      </w:r>
    </w:p>
    <w:p>
      <w:pPr>
        <w:widowControl/>
        <w:shd w:val="clear" w:color="auto" w:fill="FFFFFF"/>
        <w:spacing w:line="360" w:lineRule="auto"/>
        <w:ind w:firstLine="482"/>
        <w:rPr>
          <w:rFonts w:ascii="宋体" w:hAnsi="宋体" w:eastAsia="宋体" w:cs="Times New Roman"/>
          <w:bCs/>
          <w:color w:val="auto"/>
          <w:kern w:val="0"/>
          <w:szCs w:val="21"/>
        </w:rPr>
      </w:pPr>
    </w:p>
    <w:tbl>
      <w:tblPr>
        <w:tblStyle w:val="2"/>
        <w:tblW w:w="841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6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04" w:type="dxa"/>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基本情况</w:t>
            </w:r>
          </w:p>
        </w:tc>
        <w:tc>
          <w:tcPr>
            <w:tcW w:w="6815" w:type="dxa"/>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分</w:t>
            </w:r>
            <w:r>
              <w:rPr>
                <w:rFonts w:ascii="Calibri" w:hAnsi="Calibri" w:eastAsia="宋体" w:cs="宋体"/>
                <w:b/>
                <w:bCs/>
                <w:color w:val="auto"/>
                <w:kern w:val="0"/>
                <w:sz w:val="18"/>
                <w:szCs w:val="18"/>
              </w:rPr>
              <w:t xml:space="preserve">    </w:t>
            </w:r>
            <w:r>
              <w:rPr>
                <w:rFonts w:hint="eastAsia" w:ascii="宋体" w:hAnsi="宋体" w:eastAsia="宋体" w:cs="宋体"/>
                <w:b/>
                <w:bCs/>
                <w:color w:val="auto"/>
                <w:kern w:val="0"/>
                <w:sz w:val="18"/>
                <w:szCs w:val="1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604" w:type="dxa"/>
            <w:vMerge w:val="restart"/>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有违纪处分记录（系级及以上）</w:t>
            </w:r>
          </w:p>
        </w:tc>
        <w:tc>
          <w:tcPr>
            <w:tcW w:w="6815" w:type="dxa"/>
            <w:shd w:val="clear" w:color="auto" w:fill="auto"/>
            <w:vAlign w:val="center"/>
          </w:tcPr>
          <w:p>
            <w:pPr>
              <w:widowControl/>
              <w:jc w:val="center"/>
              <w:rPr>
                <w:rFonts w:ascii="宋体" w:hAnsi="宋体" w:eastAsia="宋体" w:cs="宋体"/>
                <w:color w:val="auto"/>
                <w:kern w:val="0"/>
                <w:sz w:val="18"/>
                <w:szCs w:val="18"/>
              </w:rPr>
            </w:pPr>
            <w:r>
              <w:rPr>
                <w:rFonts w:ascii="宋体" w:hAnsi="宋体" w:eastAsia="宋体" w:cs="宋体"/>
                <w:color w:val="auto"/>
                <w:kern w:val="0"/>
                <w:sz w:val="18"/>
                <w:szCs w:val="18"/>
              </w:rPr>
              <w:t>严重警告及以下</w:t>
            </w:r>
            <w:r>
              <w:rPr>
                <w:rFonts w:hint="eastAsia" w:ascii="宋体" w:hAnsi="宋体" w:eastAsia="宋体" w:cs="宋体"/>
                <w:color w:val="auto"/>
                <w:kern w:val="0"/>
                <w:sz w:val="18"/>
                <w:szCs w:val="18"/>
              </w:rPr>
              <w:t xml:space="preserve">  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04" w:type="dxa"/>
            <w:vMerge w:val="continue"/>
            <w:shd w:val="clear" w:color="auto" w:fill="auto"/>
            <w:vAlign w:val="center"/>
          </w:tcPr>
          <w:p>
            <w:pPr>
              <w:widowControl/>
              <w:jc w:val="center"/>
              <w:rPr>
                <w:rFonts w:ascii="宋体" w:hAnsi="宋体" w:eastAsia="宋体" w:cs="宋体"/>
                <w:b/>
                <w:bCs/>
                <w:color w:val="auto"/>
                <w:kern w:val="0"/>
                <w:sz w:val="18"/>
                <w:szCs w:val="18"/>
              </w:rPr>
            </w:pPr>
          </w:p>
        </w:tc>
        <w:tc>
          <w:tcPr>
            <w:tcW w:w="6815" w:type="dxa"/>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ascii="宋体" w:hAnsi="宋体" w:eastAsia="宋体" w:cs="宋体"/>
                <w:color w:val="auto"/>
                <w:kern w:val="0"/>
                <w:sz w:val="18"/>
                <w:szCs w:val="18"/>
              </w:rPr>
              <w:t>记过</w:t>
            </w:r>
            <w:r>
              <w:rPr>
                <w:rFonts w:hint="eastAsia" w:ascii="宋体" w:hAnsi="宋体" w:eastAsia="宋体" w:cs="宋体"/>
                <w:color w:val="auto"/>
                <w:kern w:val="0"/>
                <w:sz w:val="18"/>
                <w:szCs w:val="18"/>
              </w:rPr>
              <w:t xml:space="preserve"> </w:t>
            </w:r>
            <w:r>
              <w:rPr>
                <w:rFonts w:ascii="宋体" w:hAnsi="宋体" w:eastAsia="宋体" w:cs="宋体"/>
                <w:color w:val="auto"/>
                <w:kern w:val="0"/>
                <w:sz w:val="18"/>
                <w:szCs w:val="18"/>
              </w:rPr>
              <w:t xml:space="preserve">        </w:t>
            </w:r>
            <w:r>
              <w:rPr>
                <w:rFonts w:hint="eastAsia" w:ascii="宋体" w:hAnsi="宋体" w:eastAsia="宋体" w:cs="宋体"/>
                <w:color w:val="auto"/>
                <w:kern w:val="0"/>
                <w:sz w:val="18"/>
                <w:szCs w:val="18"/>
              </w:rPr>
              <w:t>8分/次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04" w:type="dxa"/>
            <w:vMerge w:val="continue"/>
            <w:shd w:val="clear" w:color="auto" w:fill="auto"/>
            <w:vAlign w:val="center"/>
          </w:tcPr>
          <w:p>
            <w:pPr>
              <w:widowControl/>
              <w:jc w:val="center"/>
              <w:rPr>
                <w:rFonts w:ascii="宋体" w:hAnsi="宋体" w:eastAsia="宋体" w:cs="宋体"/>
                <w:b/>
                <w:bCs/>
                <w:color w:val="auto"/>
                <w:kern w:val="0"/>
                <w:sz w:val="18"/>
                <w:szCs w:val="18"/>
              </w:rPr>
            </w:pPr>
          </w:p>
        </w:tc>
        <w:tc>
          <w:tcPr>
            <w:tcW w:w="6815" w:type="dxa"/>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ascii="宋体" w:hAnsi="宋体" w:eastAsia="宋体" w:cs="宋体"/>
                <w:color w:val="auto"/>
                <w:kern w:val="0"/>
                <w:sz w:val="18"/>
                <w:szCs w:val="18"/>
              </w:rPr>
              <w:t>留校察看</w:t>
            </w:r>
            <w:r>
              <w:rPr>
                <w:rFonts w:hint="eastAsia" w:ascii="宋体" w:hAnsi="宋体" w:eastAsia="宋体" w:cs="宋体"/>
                <w:color w:val="auto"/>
                <w:kern w:val="0"/>
                <w:sz w:val="18"/>
                <w:szCs w:val="18"/>
              </w:rPr>
              <w:t xml:space="preserve"> </w:t>
            </w:r>
            <w:r>
              <w:rPr>
                <w:rFonts w:ascii="宋体" w:hAnsi="宋体" w:eastAsia="宋体" w:cs="宋体"/>
                <w:color w:val="auto"/>
                <w:kern w:val="0"/>
                <w:sz w:val="18"/>
                <w:szCs w:val="18"/>
              </w:rPr>
              <w:t xml:space="preserve">     </w:t>
            </w:r>
            <w:r>
              <w:rPr>
                <w:rFonts w:hint="eastAsia" w:ascii="宋体" w:hAnsi="宋体" w:eastAsia="宋体" w:cs="宋体"/>
                <w:color w:val="auto"/>
                <w:kern w:val="0"/>
                <w:sz w:val="18"/>
                <w:szCs w:val="18"/>
              </w:rPr>
              <w:t>10分/次</w:t>
            </w:r>
          </w:p>
        </w:tc>
      </w:tr>
    </w:tbl>
    <w:p>
      <w:pPr>
        <w:rPr>
          <w:rFonts w:asciiTheme="minorEastAsia" w:hAnsiTheme="minorEastAsia"/>
          <w:b/>
          <w:color w:val="auto"/>
          <w:sz w:val="24"/>
          <w:szCs w:val="24"/>
        </w:rPr>
      </w:pPr>
    </w:p>
    <w:p>
      <w:pPr>
        <w:rPr>
          <w:rFonts w:asciiTheme="minorEastAsia" w:hAnsiTheme="minorEastAsia"/>
          <w:b/>
          <w:color w:val="auto"/>
          <w:sz w:val="24"/>
          <w:szCs w:val="24"/>
        </w:rPr>
      </w:pPr>
    </w:p>
    <w:p>
      <w:pPr>
        <w:jc w:val="right"/>
        <w:rPr>
          <w:rFonts w:asciiTheme="minorEastAsia" w:hAnsiTheme="minorEastAsia"/>
          <w:color w:val="auto"/>
          <w:szCs w:val="21"/>
        </w:rPr>
      </w:pPr>
      <w:r>
        <w:rPr>
          <w:rFonts w:asciiTheme="minorEastAsia" w:hAnsiTheme="minorEastAsia"/>
          <w:color w:val="auto"/>
          <w:szCs w:val="21"/>
        </w:rPr>
        <w:t>哲学系免试直升工作小组</w:t>
      </w:r>
    </w:p>
    <w:p>
      <w:pPr>
        <w:ind w:right="840"/>
        <w:jc w:val="right"/>
        <w:rPr>
          <w:rFonts w:asciiTheme="minorEastAsia" w:hAnsiTheme="minorEastAsia"/>
          <w:color w:val="auto"/>
          <w:szCs w:val="21"/>
        </w:rPr>
      </w:pPr>
      <w:r>
        <w:rPr>
          <w:rFonts w:hint="eastAsia" w:asciiTheme="minorEastAsia" w:hAnsiTheme="minorEastAsia"/>
          <w:color w:val="auto"/>
          <w:szCs w:val="21"/>
        </w:rPr>
        <w:t xml:space="preserve">    202</w:t>
      </w:r>
      <w:r>
        <w:rPr>
          <w:rFonts w:hint="eastAsia" w:asciiTheme="minorEastAsia" w:hAnsiTheme="minorEastAsia"/>
          <w:color w:val="auto"/>
          <w:szCs w:val="21"/>
          <w:lang w:val="en-US" w:eastAsia="zh-CN"/>
        </w:rPr>
        <w:t>3</w:t>
      </w:r>
      <w:r>
        <w:rPr>
          <w:rFonts w:hint="eastAsia" w:asciiTheme="minorEastAsia" w:hAnsiTheme="minorEastAsia"/>
          <w:color w:val="auto"/>
          <w:szCs w:val="21"/>
        </w:rPr>
        <w:t>年</w:t>
      </w:r>
      <w:r>
        <w:rPr>
          <w:rFonts w:hint="eastAsia" w:asciiTheme="minorEastAsia" w:hAnsiTheme="minorEastAsia"/>
          <w:color w:val="auto"/>
          <w:szCs w:val="21"/>
          <w:lang w:val="en-US" w:eastAsia="zh-CN"/>
        </w:rPr>
        <w:t>7</w:t>
      </w:r>
      <w:r>
        <w:rPr>
          <w:rFonts w:hint="eastAsia" w:asciiTheme="minorEastAsia" w:hAnsiTheme="minorEastAsia"/>
          <w:color w:val="auto"/>
          <w:szCs w:val="21"/>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GU4ODcxMWY0MDMwMzAyOTM2OTA5ZTcwNzY3YzAifQ=="/>
  </w:docVars>
  <w:rsids>
    <w:rsidRoot w:val="00000000"/>
    <w:rsid w:val="2790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2023-07-14T06:56:52Z</dcterms:created>
  <dc:creator>Administrator.DESKTOP-ONS8MGP</dc:creator>
  <cp:lastModifiedBy>蔡彦如</cp:lastModifiedBy>
  <dcterms:modified xsi:type="dcterms:W3CDTF">2023-07-14T06:57:04Z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E287B70F945348E099D771A5423E697F_12</vt:lpwstr>
  </property>
</Properties>
</file>