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673A6">
      <w:pPr>
        <w:spacing w:line="360" w:lineRule="auto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附录1：</w:t>
      </w:r>
    </w:p>
    <w:p w14:paraId="64213922">
      <w:pPr>
        <w:spacing w:line="360" w:lineRule="auto"/>
        <w:jc w:val="center"/>
        <w:rPr>
          <w:rFonts w:ascii="仿宋" w:hAnsi="仿宋" w:eastAsia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 w:val="0"/>
          <w:sz w:val="28"/>
          <w:szCs w:val="28"/>
          <w:highlight w:val="none"/>
        </w:rPr>
        <w:t>可申请的转段接收学科</w:t>
      </w:r>
      <w:r>
        <w:rPr>
          <w:rFonts w:ascii="仿宋" w:hAnsi="仿宋" w:eastAsia="仿宋"/>
          <w:b/>
          <w:bCs w:val="0"/>
          <w:sz w:val="28"/>
          <w:szCs w:val="28"/>
          <w:highlight w:val="none"/>
        </w:rPr>
        <w:t>专业</w:t>
      </w:r>
    </w:p>
    <w:p w14:paraId="12772DEA">
      <w:pPr>
        <w:spacing w:line="360" w:lineRule="auto"/>
        <w:ind w:firstLine="560" w:firstLineChars="200"/>
        <w:jc w:val="both"/>
        <w:rPr>
          <w:rFonts w:hint="eastAsia" w:ascii="仿宋" w:hAnsi="仿宋" w:eastAsia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获得转段资格的强基计划学生，只能申请转段继续攻读本校研究生。具体接收学科专业方向和研究生培养单位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参见</w:t>
      </w:r>
      <w:r>
        <w:rPr>
          <w:rFonts w:hint="eastAsia" w:ascii="仿宋" w:hAnsi="仿宋" w:eastAsia="仿宋"/>
          <w:sz w:val="28"/>
          <w:szCs w:val="28"/>
          <w:highlight w:val="none"/>
        </w:rPr>
        <w:t>《华东师范大学强基计划本研转段专业对照目录》及相关院系接收细则。</w:t>
      </w:r>
    </w:p>
    <w:p w14:paraId="3B6F43B3">
      <w:pPr>
        <w:spacing w:line="360" w:lineRule="auto"/>
        <w:ind w:firstLine="560" w:firstLineChars="200"/>
        <w:rPr>
          <w:rFonts w:hint="eastAsia" w:ascii="宋体" w:hAnsi="宋体" w:eastAsia="宋体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强基计划学生原则上在当年强基计划招生专业范围内，结合本人情况、意愿，及研究生阶段院系和学科的接收条件及招生导师等情况，申请转段进入博士生或硕士生阶段</w:t>
      </w:r>
      <w:r>
        <w:rPr>
          <w:rFonts w:hint="eastAsia" w:ascii="仿宋" w:hAnsi="仿宋" w:eastAsia="仿宋"/>
          <w:sz w:val="28"/>
          <w:szCs w:val="28"/>
          <w:highlight w:val="none"/>
        </w:rPr>
        <w:t>（鼓励转入博士生阶段）</w:t>
      </w: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深造。确有必要的，可结合国家重大战略需求，在原有强基计划关键领域范围内进行学科交叉培养。</w:t>
      </w:r>
    </w:p>
    <w:p w14:paraId="5B1DCB5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学生如申请转段进入哲学系，可申请进入硕士生阶段或博士生阶段（即“本科直博”）。本研学制：申请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硕士为</w:t>
      </w:r>
      <w:r>
        <w:rPr>
          <w:rFonts w:ascii="仿宋" w:hAnsi="仿宋" w:eastAsia="仿宋"/>
          <w:sz w:val="28"/>
          <w:szCs w:val="28"/>
          <w:highlight w:val="none"/>
        </w:rPr>
        <w:t>3+1+</w:t>
      </w:r>
      <w:r>
        <w:rPr>
          <w:rFonts w:hint="eastAsia" w:ascii="仿宋" w:hAnsi="仿宋" w:eastAsia="仿宋"/>
          <w:sz w:val="28"/>
          <w:szCs w:val="28"/>
          <w:highlight w:val="none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哲学）或</w:t>
      </w:r>
      <w:r>
        <w:rPr>
          <w:rFonts w:hint="eastAsia" w:ascii="仿宋" w:hAnsi="仿宋" w:eastAsia="仿宋"/>
          <w:sz w:val="28"/>
          <w:szCs w:val="28"/>
          <w:highlight w:val="none"/>
        </w:rPr>
        <w:t>3+1+2.5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应用伦理学）</w:t>
      </w:r>
      <w:r>
        <w:rPr>
          <w:rFonts w:ascii="仿宋" w:hAnsi="仿宋" w:eastAsia="仿宋"/>
          <w:sz w:val="28"/>
          <w:szCs w:val="28"/>
          <w:highlight w:val="none"/>
        </w:rPr>
        <w:t>，申请直博为3+1+</w:t>
      </w:r>
      <w:r>
        <w:rPr>
          <w:rFonts w:hint="eastAsia" w:ascii="仿宋" w:hAnsi="仿宋" w:eastAsia="仿宋"/>
          <w:sz w:val="28"/>
          <w:szCs w:val="28"/>
          <w:highlight w:val="none"/>
        </w:rPr>
        <w:t>5</w:t>
      </w:r>
      <w:r>
        <w:rPr>
          <w:rFonts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sz w:val="28"/>
          <w:szCs w:val="28"/>
          <w:highlight w:val="none"/>
        </w:rPr>
        <w:t>鼓励主动联系意向导师，直接攻读博士学位。</w:t>
      </w:r>
    </w:p>
    <w:p w14:paraId="720D1456">
      <w:pPr>
        <w:spacing w:line="360" w:lineRule="auto"/>
        <w:ind w:firstLine="560" w:firstLineChars="200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其他接收单位以其发布的接收细则为准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instrText xml:space="preserve"> HYPERLINK "https://yjszs-ks.ecnu.edu.cn/zsml/bszsml/indexYjxk/2024）并向志愿院系确认；拟接收、录取的学科最终以学校2025年硕士/博士研究生招生学科目录为准。" </w:instrText>
      </w:r>
      <w:r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Style w:val="4"/>
          <w:rFonts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t>拟接收、录取的学科最终以学校202</w:t>
      </w:r>
      <w:r>
        <w:rPr>
          <w:rStyle w:val="4"/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7</w:t>
      </w:r>
      <w:r>
        <w:rPr>
          <w:rStyle w:val="4"/>
          <w:rFonts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t>年硕士/博士研究生招生学科目录为准</w:t>
      </w:r>
      <w:r>
        <w:rPr>
          <w:rStyle w:val="4"/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t>。</w:t>
      </w:r>
      <w:r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highlight w:val="none"/>
          <w:u w:val="none"/>
        </w:rPr>
        <w:fldChar w:fldCharType="end"/>
      </w:r>
    </w:p>
    <w:p w14:paraId="062355D8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2915273C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092D02F6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2DE5DF6C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5195DD4E">
      <w:pPr>
        <w:spacing w:line="360" w:lineRule="auto"/>
        <w:rPr>
          <w:rFonts w:hint="eastAsia" w:ascii="仿宋" w:hAnsi="仿宋" w:eastAsia="仿宋"/>
          <w:strike w:val="0"/>
          <w:dstrike w:val="0"/>
          <w:color w:val="auto"/>
          <w:sz w:val="28"/>
          <w:szCs w:val="28"/>
          <w:u w:val="none"/>
        </w:rPr>
      </w:pPr>
    </w:p>
    <w:p w14:paraId="19291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2026-04-10T01:26:24Z</dcterms:created>
  <dc:creator>Administrator.DESKTOP-ONS8MGP</dc:creator>
  <cp:lastModifiedBy>蔡彦如</cp:lastModifiedBy>
  <dcterms:modified xsi:type="dcterms:W3CDTF">2026-04-10T01:26:45Z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D93879A025DD431BAF1A69EB32E799B5_12</vt:lpwstr>
  </property>
</Properties>
</file>